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12" w:rsidRDefault="00F21B12" w:rsidP="00901CCB">
      <w:pPr>
        <w:jc w:val="right"/>
        <w:rPr>
          <w:sz w:val="28"/>
          <w:szCs w:val="28"/>
          <w:lang w:val="uk-UA"/>
        </w:rPr>
      </w:pPr>
    </w:p>
    <w:p w:rsidR="00F21B12" w:rsidRDefault="00F21B12" w:rsidP="00901CCB">
      <w:pPr>
        <w:jc w:val="right"/>
        <w:rPr>
          <w:sz w:val="28"/>
          <w:szCs w:val="28"/>
          <w:lang w:val="uk-UA"/>
        </w:rPr>
      </w:pPr>
    </w:p>
    <w:p w:rsidR="00F21B12" w:rsidRDefault="00F21B12" w:rsidP="00901CCB">
      <w:pPr>
        <w:jc w:val="center"/>
        <w:rPr>
          <w:b/>
          <w:sz w:val="24"/>
          <w:szCs w:val="24"/>
          <w:lang w:val="uk-UA"/>
        </w:rPr>
      </w:pPr>
    </w:p>
    <w:p w:rsidR="00F21B12" w:rsidRDefault="00F21B12" w:rsidP="00901CCB">
      <w:pPr>
        <w:jc w:val="center"/>
        <w:rPr>
          <w:b/>
          <w:sz w:val="24"/>
          <w:szCs w:val="24"/>
          <w:lang w:val="uk-UA"/>
        </w:rPr>
      </w:pPr>
    </w:p>
    <w:p w:rsidR="00F21B12" w:rsidRDefault="00F21B12" w:rsidP="00901CCB">
      <w:pPr>
        <w:jc w:val="center"/>
        <w:rPr>
          <w:b/>
          <w:sz w:val="24"/>
          <w:szCs w:val="24"/>
          <w:lang w:val="uk-UA"/>
        </w:rPr>
      </w:pPr>
    </w:p>
    <w:p w:rsidR="00F21B12" w:rsidRDefault="00F21B12" w:rsidP="00901CCB">
      <w:pPr>
        <w:jc w:val="center"/>
        <w:rPr>
          <w:sz w:val="24"/>
          <w:szCs w:val="24"/>
          <w:lang w:val="uk-UA"/>
        </w:rPr>
      </w:pPr>
      <w:r>
        <w:rPr>
          <w:b/>
          <w:sz w:val="24"/>
          <w:szCs w:val="24"/>
          <w:lang w:val="uk-UA"/>
        </w:rPr>
        <w:t>КОМІТЕТ З ПИТАНЬ ЕКОЛОГІЧНОЇ ПОЛІТИКИ, ПРИРОДОКОРИСТУВАННЯ ТА ЛІКВІДАЦІЇ НАСЛІДКІВ ЧОРНОБИЛЬСЬКОЇ КАТАСТРОФИ</w:t>
      </w:r>
    </w:p>
    <w:p w:rsidR="00F21B12" w:rsidRDefault="00F21B12" w:rsidP="00901CCB">
      <w:pPr>
        <w:rPr>
          <w:lang w:val="uk-UA"/>
        </w:rPr>
      </w:pPr>
    </w:p>
    <w:p w:rsidR="00F21B12" w:rsidRPr="009978EA" w:rsidRDefault="00F21B12" w:rsidP="00901CCB">
      <w:pPr>
        <w:pStyle w:val="Heading3"/>
        <w:ind w:right="63"/>
      </w:pPr>
    </w:p>
    <w:p w:rsidR="00F21B12" w:rsidRPr="00D52991" w:rsidRDefault="00F21B12" w:rsidP="00901CCB">
      <w:pPr>
        <w:pStyle w:val="Heading3"/>
        <w:ind w:right="63"/>
      </w:pPr>
    </w:p>
    <w:p w:rsidR="00F21B12" w:rsidRPr="00D52991" w:rsidRDefault="00F21B12" w:rsidP="00901CCB">
      <w:pPr>
        <w:pStyle w:val="Heading3"/>
        <w:ind w:right="63"/>
      </w:pPr>
    </w:p>
    <w:p w:rsidR="00F21B12" w:rsidRPr="00D52991" w:rsidRDefault="00F21B12" w:rsidP="00901CCB">
      <w:pPr>
        <w:pStyle w:val="Heading3"/>
        <w:ind w:right="63"/>
      </w:pPr>
    </w:p>
    <w:p w:rsidR="00F21B12" w:rsidRPr="00D52991" w:rsidRDefault="00F21B12" w:rsidP="00901CCB">
      <w:pPr>
        <w:pStyle w:val="Heading3"/>
        <w:ind w:right="63"/>
      </w:pPr>
    </w:p>
    <w:p w:rsidR="00F21B12" w:rsidRDefault="00F21B12" w:rsidP="00901CCB">
      <w:pPr>
        <w:pStyle w:val="Heading3"/>
        <w:ind w:right="63"/>
      </w:pPr>
      <w:r>
        <w:rPr>
          <w:lang w:val="ru-RU"/>
        </w:rPr>
        <w:t>13 березня</w:t>
      </w:r>
      <w:r>
        <w:t xml:space="preserve"> 2018 р.                                                                           №</w:t>
      </w:r>
      <w:r w:rsidRPr="00455F56">
        <w:t xml:space="preserve"> </w:t>
      </w:r>
      <w:r>
        <w:t>70/14</w:t>
      </w:r>
    </w:p>
    <w:p w:rsidR="00F21B12" w:rsidRPr="00455F56" w:rsidRDefault="00F21B12" w:rsidP="00901CCB">
      <w:pPr>
        <w:rPr>
          <w:lang w:val="uk-UA"/>
        </w:rPr>
      </w:pPr>
    </w:p>
    <w:p w:rsidR="00F21B12" w:rsidRDefault="00F21B12" w:rsidP="00901CCB">
      <w:pPr>
        <w:pStyle w:val="Heading3"/>
        <w:ind w:right="63"/>
        <w:rPr>
          <w:sz w:val="24"/>
          <w:szCs w:val="24"/>
        </w:rPr>
      </w:pPr>
      <w:r>
        <w:rPr>
          <w:sz w:val="24"/>
          <w:szCs w:val="24"/>
        </w:rPr>
        <w:t xml:space="preserve">Про проект Закону України </w:t>
      </w:r>
    </w:p>
    <w:p w:rsidR="00F21B12" w:rsidRDefault="00F21B12" w:rsidP="00901CCB">
      <w:pPr>
        <w:pStyle w:val="Heading3"/>
        <w:ind w:right="63"/>
        <w:rPr>
          <w:sz w:val="24"/>
          <w:szCs w:val="24"/>
        </w:rPr>
      </w:pPr>
      <w:r>
        <w:rPr>
          <w:sz w:val="24"/>
          <w:szCs w:val="24"/>
        </w:rPr>
        <w:t xml:space="preserve">(реєстр. № 7385)  </w:t>
      </w:r>
    </w:p>
    <w:p w:rsidR="00F21B12" w:rsidRDefault="00F21B12" w:rsidP="00901CCB">
      <w:pPr>
        <w:ind w:right="63" w:firstLine="567"/>
        <w:rPr>
          <w:sz w:val="28"/>
          <w:lang w:val="uk-UA"/>
        </w:rPr>
      </w:pPr>
    </w:p>
    <w:p w:rsidR="00F21B12" w:rsidRDefault="00F21B12" w:rsidP="00901CCB">
      <w:pPr>
        <w:ind w:firstLine="720"/>
        <w:jc w:val="both"/>
        <w:rPr>
          <w:sz w:val="28"/>
          <w:lang w:val="uk-UA"/>
        </w:rPr>
      </w:pPr>
      <w:r>
        <w:rPr>
          <w:sz w:val="28"/>
          <w:szCs w:val="28"/>
          <w:lang w:val="uk-UA"/>
        </w:rPr>
        <w:t xml:space="preserve">Комітет Верховної Ради України з питань екологічної політики, природокористування та ліквідації наслідків Чорнобильської катастрофи відповідно до предметів відання розглянув </w:t>
      </w:r>
      <w:r w:rsidRPr="005E25BF">
        <w:rPr>
          <w:sz w:val="28"/>
          <w:szCs w:val="28"/>
          <w:lang w:val="uk-UA"/>
        </w:rPr>
        <w:t xml:space="preserve">проект </w:t>
      </w:r>
      <w:r>
        <w:rPr>
          <w:sz w:val="28"/>
          <w:szCs w:val="28"/>
          <w:lang w:val="uk-UA"/>
        </w:rPr>
        <w:t>з</w:t>
      </w:r>
      <w:r w:rsidRPr="005E25BF">
        <w:rPr>
          <w:sz w:val="28"/>
          <w:szCs w:val="28"/>
          <w:lang w:val="uk-UA"/>
        </w:rPr>
        <w:t>акон</w:t>
      </w:r>
      <w:r>
        <w:rPr>
          <w:sz w:val="28"/>
          <w:szCs w:val="28"/>
          <w:lang w:val="uk-UA"/>
        </w:rPr>
        <w:t>у</w:t>
      </w:r>
      <w:r w:rsidRPr="005E25BF">
        <w:rPr>
          <w:sz w:val="28"/>
          <w:szCs w:val="28"/>
          <w:lang w:val="uk-UA"/>
        </w:rPr>
        <w:t xml:space="preserve"> України </w:t>
      </w:r>
      <w:r>
        <w:rPr>
          <w:sz w:val="28"/>
          <w:szCs w:val="28"/>
          <w:lang w:val="uk-UA"/>
        </w:rPr>
        <w:t>п</w:t>
      </w:r>
      <w:r w:rsidRPr="002842E9">
        <w:rPr>
          <w:sz w:val="28"/>
          <w:szCs w:val="28"/>
          <w:lang w:val="uk-UA"/>
        </w:rPr>
        <w:t>ро внесення змін до деяких законодавчих актів України щодо сприяння розвитку морег</w:t>
      </w:r>
      <w:r>
        <w:rPr>
          <w:sz w:val="28"/>
          <w:szCs w:val="28"/>
          <w:lang w:val="uk-UA"/>
        </w:rPr>
        <w:t xml:space="preserve">осподарського комплексу (реєстр. № 7385), поданий народними депутатами України Б.Козирем, І.Кононенком, М.Бурбаком та іншими народними депутатами (разом 37 підписів), </w:t>
      </w:r>
      <w:r>
        <w:rPr>
          <w:sz w:val="28"/>
          <w:lang w:val="uk-UA"/>
        </w:rPr>
        <w:t xml:space="preserve">і відзначає. </w:t>
      </w:r>
    </w:p>
    <w:p w:rsidR="00F21B12" w:rsidRDefault="00F21B12" w:rsidP="00901CCB">
      <w:pPr>
        <w:tabs>
          <w:tab w:val="left" w:pos="540"/>
        </w:tabs>
        <w:ind w:firstLine="540"/>
        <w:jc w:val="both"/>
        <w:rPr>
          <w:sz w:val="28"/>
          <w:szCs w:val="28"/>
        </w:rPr>
      </w:pPr>
      <w:bookmarkStart w:id="0" w:name="OLE_LINK1"/>
      <w:r>
        <w:rPr>
          <w:sz w:val="28"/>
          <w:szCs w:val="28"/>
          <w:lang w:val="uk-UA"/>
        </w:rPr>
        <w:t>Як зазначено у Пояснювальній записці, законопроект</w:t>
      </w:r>
      <w:bookmarkEnd w:id="0"/>
      <w:r>
        <w:rPr>
          <w:sz w:val="28"/>
          <w:szCs w:val="28"/>
          <w:lang w:val="uk-UA"/>
        </w:rPr>
        <w:t xml:space="preserve"> </w:t>
      </w:r>
      <w:r w:rsidRPr="002F3C25">
        <w:rPr>
          <w:sz w:val="28"/>
          <w:szCs w:val="28"/>
        </w:rPr>
        <w:t>розроблено за результатами практичного застосування положень Закону України «Про морські порти України» (далі – Закону), а також з метою приведення деяких законів України у відповідність з міжнародними договорами у сфері торговельного мореплавства</w:t>
      </w:r>
      <w:r>
        <w:rPr>
          <w:sz w:val="28"/>
          <w:szCs w:val="28"/>
        </w:rPr>
        <w:t xml:space="preserve">, </w:t>
      </w:r>
      <w:r w:rsidRPr="00935ECD">
        <w:rPr>
          <w:sz w:val="28"/>
          <w:szCs w:val="28"/>
        </w:rPr>
        <w:t xml:space="preserve">вдосконалення функціонування державної системи </w:t>
      </w:r>
      <w:r>
        <w:rPr>
          <w:sz w:val="28"/>
          <w:szCs w:val="28"/>
        </w:rPr>
        <w:t>організації судноплавства</w:t>
      </w:r>
      <w:r w:rsidRPr="005D0979">
        <w:rPr>
          <w:sz w:val="28"/>
          <w:szCs w:val="28"/>
        </w:rPr>
        <w:t xml:space="preserve">, </w:t>
      </w:r>
      <w:r>
        <w:rPr>
          <w:sz w:val="28"/>
          <w:szCs w:val="28"/>
        </w:rPr>
        <w:t>актуалізації</w:t>
      </w:r>
      <w:r w:rsidRPr="00C91BC9">
        <w:rPr>
          <w:sz w:val="28"/>
          <w:szCs w:val="28"/>
        </w:rPr>
        <w:t xml:space="preserve"> законодавства у сфері видачі дозволів на проведення робіт на землях водного фонду</w:t>
      </w:r>
      <w:r w:rsidRPr="005D0979">
        <w:rPr>
          <w:sz w:val="28"/>
          <w:szCs w:val="28"/>
        </w:rPr>
        <w:t xml:space="preserve">, забезпечення виконання </w:t>
      </w:r>
      <w:r>
        <w:rPr>
          <w:sz w:val="28"/>
          <w:szCs w:val="28"/>
        </w:rPr>
        <w:t>А</w:t>
      </w:r>
      <w:r w:rsidRPr="00935ECD">
        <w:rPr>
          <w:sz w:val="28"/>
          <w:szCs w:val="28"/>
        </w:rPr>
        <w:t>дміністрацією морських портів</w:t>
      </w:r>
      <w:r>
        <w:rPr>
          <w:sz w:val="28"/>
          <w:szCs w:val="28"/>
        </w:rPr>
        <w:t xml:space="preserve"> України</w:t>
      </w:r>
      <w:r w:rsidRPr="005D0979">
        <w:rPr>
          <w:sz w:val="28"/>
          <w:szCs w:val="28"/>
        </w:rPr>
        <w:t xml:space="preserve">, відповідно до Закону України «Про морські порти України», </w:t>
      </w:r>
      <w:r>
        <w:rPr>
          <w:sz w:val="28"/>
          <w:szCs w:val="28"/>
        </w:rPr>
        <w:t>покладених на неї функцій.</w:t>
      </w:r>
    </w:p>
    <w:p w:rsidR="00F21B12" w:rsidRDefault="00F21B12" w:rsidP="00571444">
      <w:pPr>
        <w:ind w:firstLine="709"/>
        <w:jc w:val="both"/>
        <w:rPr>
          <w:sz w:val="28"/>
          <w:szCs w:val="28"/>
          <w:lang w:val="uk-UA"/>
        </w:rPr>
      </w:pPr>
      <w:r w:rsidRPr="00571444">
        <w:rPr>
          <w:sz w:val="28"/>
          <w:szCs w:val="28"/>
        </w:rPr>
        <w:t xml:space="preserve">Проектом пропонується </w:t>
      </w:r>
      <w:r>
        <w:rPr>
          <w:sz w:val="28"/>
          <w:szCs w:val="28"/>
          <w:lang w:val="uk-UA"/>
        </w:rPr>
        <w:t>введення в законодавство нового терміну «експлуатаційне днопоглиблення» без його визначення. В законодавстві України (закон України «Про оцінку впливу на довкілля», а також низка нормативних документів, які регламентують цю діяльність), вживається термін «експлуатаційні днопоглиблювальні роботи». Застосування нового терміну без його визначення дозволяє довільне його трактування.</w:t>
      </w:r>
    </w:p>
    <w:p w:rsidR="00F21B12" w:rsidRPr="006B72E9" w:rsidRDefault="00F21B12" w:rsidP="00571444">
      <w:pPr>
        <w:ind w:firstLine="709"/>
        <w:jc w:val="both"/>
        <w:rPr>
          <w:sz w:val="28"/>
          <w:szCs w:val="28"/>
          <w:lang w:val="uk-UA"/>
        </w:rPr>
      </w:pPr>
      <w:r>
        <w:rPr>
          <w:sz w:val="28"/>
          <w:szCs w:val="28"/>
          <w:lang w:val="uk-UA"/>
        </w:rPr>
        <w:t xml:space="preserve">Також передбачено </w:t>
      </w:r>
      <w:r w:rsidRPr="006B72E9">
        <w:rPr>
          <w:sz w:val="28"/>
          <w:szCs w:val="28"/>
          <w:lang w:val="uk-UA"/>
        </w:rPr>
        <w:t>внес</w:t>
      </w:r>
      <w:r>
        <w:rPr>
          <w:sz w:val="28"/>
          <w:szCs w:val="28"/>
          <w:lang w:val="uk-UA"/>
        </w:rPr>
        <w:t>ти</w:t>
      </w:r>
      <w:r w:rsidRPr="006B72E9">
        <w:rPr>
          <w:sz w:val="28"/>
          <w:szCs w:val="28"/>
          <w:lang w:val="uk-UA"/>
        </w:rPr>
        <w:t xml:space="preserve"> змін</w:t>
      </w:r>
      <w:r>
        <w:rPr>
          <w:sz w:val="28"/>
          <w:szCs w:val="28"/>
          <w:lang w:val="uk-UA"/>
        </w:rPr>
        <w:t>и</w:t>
      </w:r>
      <w:r w:rsidRPr="006B72E9">
        <w:rPr>
          <w:sz w:val="28"/>
          <w:szCs w:val="28"/>
          <w:lang w:val="uk-UA"/>
        </w:rPr>
        <w:t xml:space="preserve"> до:</w:t>
      </w:r>
    </w:p>
    <w:p w:rsidR="00F21B12" w:rsidRPr="00571444" w:rsidRDefault="00F21B12" w:rsidP="00571444">
      <w:pPr>
        <w:ind w:firstLine="709"/>
        <w:jc w:val="both"/>
        <w:rPr>
          <w:sz w:val="28"/>
          <w:szCs w:val="28"/>
        </w:rPr>
      </w:pPr>
      <w:r w:rsidRPr="00571444">
        <w:rPr>
          <w:sz w:val="28"/>
          <w:szCs w:val="28"/>
        </w:rPr>
        <w:t>статті 1 Водного кодексу України</w:t>
      </w:r>
      <w:r>
        <w:rPr>
          <w:sz w:val="28"/>
          <w:szCs w:val="28"/>
          <w:lang w:val="uk-UA"/>
        </w:rPr>
        <w:t>,</w:t>
      </w:r>
      <w:r w:rsidRPr="00571444">
        <w:rPr>
          <w:sz w:val="28"/>
          <w:szCs w:val="28"/>
        </w:rPr>
        <w:t xml:space="preserve"> розшири</w:t>
      </w:r>
      <w:r>
        <w:rPr>
          <w:sz w:val="28"/>
          <w:szCs w:val="28"/>
          <w:lang w:val="uk-UA"/>
        </w:rPr>
        <w:t>вши</w:t>
      </w:r>
      <w:r w:rsidRPr="00571444">
        <w:rPr>
          <w:sz w:val="28"/>
          <w:szCs w:val="28"/>
        </w:rPr>
        <w:t xml:space="preserve"> визначення «акваторія морського порту </w:t>
      </w:r>
      <w:r>
        <w:rPr>
          <w:sz w:val="28"/>
          <w:szCs w:val="28"/>
          <w:lang w:val="uk-UA"/>
        </w:rPr>
        <w:t>(</w:t>
      </w:r>
      <w:r w:rsidRPr="00571444">
        <w:rPr>
          <w:sz w:val="28"/>
          <w:szCs w:val="28"/>
        </w:rPr>
        <w:t>портова акваторія</w:t>
      </w:r>
      <w:r>
        <w:rPr>
          <w:sz w:val="28"/>
          <w:szCs w:val="28"/>
          <w:lang w:val="uk-UA"/>
        </w:rPr>
        <w:t>)»</w:t>
      </w:r>
      <w:r w:rsidRPr="00571444">
        <w:rPr>
          <w:sz w:val="28"/>
          <w:szCs w:val="28"/>
        </w:rPr>
        <w:t xml:space="preserve"> </w:t>
      </w:r>
      <w:r>
        <w:rPr>
          <w:sz w:val="28"/>
          <w:szCs w:val="28"/>
          <w:lang w:val="uk-UA"/>
        </w:rPr>
        <w:t xml:space="preserve">та </w:t>
      </w:r>
      <w:r w:rsidRPr="00571444">
        <w:rPr>
          <w:sz w:val="28"/>
          <w:szCs w:val="28"/>
        </w:rPr>
        <w:t>включи</w:t>
      </w:r>
      <w:r>
        <w:rPr>
          <w:sz w:val="28"/>
          <w:szCs w:val="28"/>
          <w:lang w:val="uk-UA"/>
        </w:rPr>
        <w:t>ти</w:t>
      </w:r>
      <w:r w:rsidRPr="00571444">
        <w:rPr>
          <w:sz w:val="28"/>
          <w:szCs w:val="28"/>
        </w:rPr>
        <w:t xml:space="preserve"> до її складу судновий хід;</w:t>
      </w:r>
    </w:p>
    <w:p w:rsidR="00F21B12" w:rsidRPr="00571444" w:rsidRDefault="00F21B12" w:rsidP="00571444">
      <w:pPr>
        <w:ind w:firstLine="709"/>
        <w:jc w:val="both"/>
        <w:rPr>
          <w:sz w:val="28"/>
          <w:szCs w:val="28"/>
        </w:rPr>
      </w:pPr>
      <w:r w:rsidRPr="00571444">
        <w:rPr>
          <w:sz w:val="28"/>
          <w:szCs w:val="28"/>
        </w:rPr>
        <w:t>пункту 7 статті 14 Водного кодексу України виключи</w:t>
      </w:r>
      <w:r>
        <w:rPr>
          <w:sz w:val="28"/>
          <w:szCs w:val="28"/>
          <w:lang w:val="uk-UA"/>
        </w:rPr>
        <w:t>вши</w:t>
      </w:r>
      <w:r w:rsidRPr="00571444">
        <w:rPr>
          <w:sz w:val="28"/>
          <w:szCs w:val="28"/>
        </w:rPr>
        <w:t xml:space="preserve"> з </w:t>
      </w:r>
      <w:r>
        <w:rPr>
          <w:sz w:val="28"/>
          <w:szCs w:val="28"/>
          <w:lang w:val="uk-UA"/>
        </w:rPr>
        <w:t xml:space="preserve">повноважень </w:t>
      </w:r>
      <w:r w:rsidRPr="00571444">
        <w:rPr>
          <w:sz w:val="28"/>
          <w:szCs w:val="28"/>
        </w:rPr>
        <w:t>Кабінету Міністрів України питання встановлення порядку видачі дозволів на проведення робіт на землях водного фонду з експлуатаційного днопоглиблення;</w:t>
      </w:r>
    </w:p>
    <w:p w:rsidR="00F21B12" w:rsidRPr="00571444" w:rsidRDefault="00F21B12" w:rsidP="00571444">
      <w:pPr>
        <w:ind w:firstLine="709"/>
        <w:jc w:val="both"/>
        <w:rPr>
          <w:sz w:val="28"/>
          <w:szCs w:val="28"/>
        </w:rPr>
      </w:pPr>
      <w:r w:rsidRPr="00571444">
        <w:rPr>
          <w:sz w:val="28"/>
          <w:szCs w:val="28"/>
        </w:rPr>
        <w:t>підпункту 10 пункту 3 статті 3 Закону України «Про оцінку впливу на довкілля» виключи</w:t>
      </w:r>
      <w:r>
        <w:rPr>
          <w:sz w:val="28"/>
          <w:szCs w:val="28"/>
          <w:lang w:val="uk-UA"/>
        </w:rPr>
        <w:t>вши</w:t>
      </w:r>
      <w:r w:rsidRPr="00571444">
        <w:rPr>
          <w:sz w:val="28"/>
          <w:szCs w:val="28"/>
        </w:rPr>
        <w:t xml:space="preserve"> з другої категорії </w:t>
      </w:r>
      <w:r w:rsidRPr="00571444">
        <w:rPr>
          <w:color w:val="000000"/>
          <w:sz w:val="28"/>
          <w:szCs w:val="28"/>
          <w:shd w:val="clear" w:color="auto" w:fill="FFFFFF"/>
        </w:rPr>
        <w:t>видів планованої діяльності та об’єктів, які можуть мати значний вплив на довкілля та підлягають оцінці впливу на довкілля</w:t>
      </w:r>
      <w:r w:rsidRPr="00571444">
        <w:rPr>
          <w:sz w:val="28"/>
          <w:szCs w:val="28"/>
        </w:rPr>
        <w:t xml:space="preserve"> роботи з розчищення русла та дна річок </w:t>
      </w:r>
      <w:r>
        <w:rPr>
          <w:sz w:val="28"/>
          <w:szCs w:val="28"/>
          <w:lang w:val="uk-UA"/>
        </w:rPr>
        <w:t xml:space="preserve">та експлуатаційне днопоглиблення </w:t>
      </w:r>
      <w:r w:rsidRPr="00571444">
        <w:rPr>
          <w:sz w:val="28"/>
          <w:szCs w:val="28"/>
        </w:rPr>
        <w:t xml:space="preserve">(абзац сьомий підпункту 10), </w:t>
      </w:r>
      <w:r>
        <w:rPr>
          <w:sz w:val="28"/>
          <w:szCs w:val="28"/>
          <w:lang w:val="uk-UA"/>
        </w:rPr>
        <w:t>та замінивши термін «експлуатаційні днопоглиблювальні роботи» на «</w:t>
      </w:r>
      <w:r w:rsidRPr="00571444">
        <w:rPr>
          <w:sz w:val="28"/>
          <w:szCs w:val="28"/>
        </w:rPr>
        <w:t>експлуатаційн</w:t>
      </w:r>
      <w:r>
        <w:rPr>
          <w:sz w:val="28"/>
          <w:szCs w:val="28"/>
          <w:lang w:val="uk-UA"/>
        </w:rPr>
        <w:t>е</w:t>
      </w:r>
      <w:r w:rsidRPr="00571444">
        <w:rPr>
          <w:sz w:val="28"/>
          <w:szCs w:val="28"/>
        </w:rPr>
        <w:t xml:space="preserve"> днопоглиблення</w:t>
      </w:r>
      <w:r>
        <w:rPr>
          <w:sz w:val="28"/>
          <w:szCs w:val="28"/>
          <w:lang w:val="uk-UA"/>
        </w:rPr>
        <w:t>»</w:t>
      </w:r>
      <w:r w:rsidRPr="00571444">
        <w:rPr>
          <w:sz w:val="28"/>
          <w:szCs w:val="28"/>
        </w:rPr>
        <w:t xml:space="preserve"> (абзац шістнадцятий підпункту 10)</w:t>
      </w:r>
      <w:r w:rsidRPr="00571444">
        <w:rPr>
          <w:color w:val="000000"/>
          <w:sz w:val="28"/>
          <w:szCs w:val="28"/>
          <w:shd w:val="clear" w:color="auto" w:fill="FFFFFF"/>
        </w:rPr>
        <w:t>;</w:t>
      </w:r>
    </w:p>
    <w:p w:rsidR="00F21B12" w:rsidRPr="00571444" w:rsidRDefault="00F21B12" w:rsidP="00571444">
      <w:pPr>
        <w:ind w:firstLine="709"/>
        <w:jc w:val="both"/>
        <w:rPr>
          <w:sz w:val="28"/>
          <w:szCs w:val="28"/>
        </w:rPr>
      </w:pPr>
      <w:r w:rsidRPr="00571444">
        <w:rPr>
          <w:sz w:val="28"/>
          <w:szCs w:val="28"/>
        </w:rPr>
        <w:t>Закону України «Про Перелік документів дозвільного характеру у сфері господарської діяльності» виключити проведення експлуатаційних днопоглиблювальних робіт з переліку видів господарської діяльності, які здійснюються на підставі документу дозвільного характеру (пункт 16 Переліку).</w:t>
      </w:r>
    </w:p>
    <w:p w:rsidR="00F21B12" w:rsidRPr="00571444" w:rsidRDefault="00F21B12" w:rsidP="00571444">
      <w:pPr>
        <w:ind w:firstLine="709"/>
        <w:jc w:val="both"/>
        <w:rPr>
          <w:sz w:val="28"/>
          <w:szCs w:val="28"/>
        </w:rPr>
      </w:pPr>
      <w:r w:rsidRPr="00571444">
        <w:rPr>
          <w:sz w:val="28"/>
          <w:szCs w:val="28"/>
        </w:rPr>
        <w:t xml:space="preserve">Стосовно розширення акваторії морського порту шляхом включення до її складу суднового ходу </w:t>
      </w:r>
      <w:r>
        <w:rPr>
          <w:sz w:val="28"/>
          <w:szCs w:val="28"/>
        </w:rPr>
        <w:t>Ком</w:t>
      </w:r>
      <w:r>
        <w:rPr>
          <w:sz w:val="28"/>
          <w:szCs w:val="28"/>
          <w:lang w:val="uk-UA"/>
        </w:rPr>
        <w:t xml:space="preserve">ітет </w:t>
      </w:r>
      <w:r w:rsidRPr="00571444">
        <w:rPr>
          <w:sz w:val="28"/>
          <w:szCs w:val="28"/>
        </w:rPr>
        <w:t xml:space="preserve">зазначає. </w:t>
      </w:r>
    </w:p>
    <w:p w:rsidR="00F21B12" w:rsidRPr="00571444" w:rsidRDefault="00F21B12" w:rsidP="00571444">
      <w:pPr>
        <w:ind w:firstLine="709"/>
        <w:jc w:val="both"/>
        <w:rPr>
          <w:sz w:val="28"/>
          <w:szCs w:val="28"/>
        </w:rPr>
      </w:pPr>
      <w:r w:rsidRPr="00571444">
        <w:rPr>
          <w:sz w:val="28"/>
          <w:szCs w:val="28"/>
        </w:rPr>
        <w:t xml:space="preserve">Згідно із статтею 1 Закону України «Про морські порти України», </w:t>
      </w:r>
      <w:r w:rsidRPr="00571444">
        <w:rPr>
          <w:color w:val="000000"/>
          <w:sz w:val="28"/>
          <w:szCs w:val="28"/>
          <w:shd w:val="clear" w:color="auto" w:fill="FFFFFF"/>
        </w:rPr>
        <w:t>судновий хід – водний простір, призначений для транзитного руху суден між портами, позначений на місцевості і на карті та визначений засобами навігаційного обладнання.</w:t>
      </w:r>
      <w:r w:rsidRPr="00571444">
        <w:rPr>
          <w:sz w:val="28"/>
          <w:szCs w:val="28"/>
        </w:rPr>
        <w:t xml:space="preserve"> </w:t>
      </w:r>
      <w:r>
        <w:rPr>
          <w:sz w:val="28"/>
          <w:szCs w:val="28"/>
          <w:lang w:val="uk-UA"/>
        </w:rPr>
        <w:t xml:space="preserve">Відтак, призначення суднового ходу полягає у забезпеченні руху суден між портами. Водночас, акваторія морського порту призначена для безпечного підходу, маневрування, стоянки і відходу суден в морському порту. </w:t>
      </w:r>
      <w:r w:rsidRPr="00571444">
        <w:rPr>
          <w:sz w:val="28"/>
          <w:szCs w:val="28"/>
        </w:rPr>
        <w:t xml:space="preserve">Включення суднового ходу до портової акваторії призведе до віднесення значної частини морської акваторії до зони антропогенної діяльності, для якої не діятимуть обмеження, встановлені природоохоронним законодавством, змінить її природоохоронний статус та призведе до втрати її природоохоронної цінності як елементу довкілля, екосистеми. </w:t>
      </w:r>
    </w:p>
    <w:p w:rsidR="00F21B12" w:rsidRPr="00E96EB5" w:rsidRDefault="00F21B12" w:rsidP="00571444">
      <w:pPr>
        <w:ind w:firstLine="709"/>
        <w:jc w:val="both"/>
        <w:rPr>
          <w:color w:val="000000"/>
          <w:sz w:val="28"/>
          <w:szCs w:val="28"/>
          <w:shd w:val="clear" w:color="auto" w:fill="FFFFFF"/>
          <w:lang w:val="uk-UA"/>
        </w:rPr>
      </w:pPr>
      <w:r w:rsidRPr="00571444">
        <w:rPr>
          <w:sz w:val="28"/>
          <w:szCs w:val="28"/>
        </w:rPr>
        <w:t xml:space="preserve">Зміни, </w:t>
      </w:r>
      <w:r>
        <w:rPr>
          <w:sz w:val="28"/>
          <w:szCs w:val="28"/>
          <w:lang w:val="uk-UA"/>
        </w:rPr>
        <w:t>запропоновані</w:t>
      </w:r>
      <w:r w:rsidRPr="00571444">
        <w:rPr>
          <w:sz w:val="28"/>
          <w:szCs w:val="28"/>
        </w:rPr>
        <w:t xml:space="preserve"> </w:t>
      </w:r>
      <w:r>
        <w:rPr>
          <w:sz w:val="28"/>
          <w:szCs w:val="28"/>
          <w:lang w:val="uk-UA"/>
        </w:rPr>
        <w:t>до</w:t>
      </w:r>
      <w:r w:rsidRPr="00571444">
        <w:rPr>
          <w:sz w:val="28"/>
          <w:szCs w:val="28"/>
        </w:rPr>
        <w:t xml:space="preserve"> Закону України «Про оцінку впливу на довкілля» передбачають виключення </w:t>
      </w:r>
      <w:r w:rsidRPr="00F35E1E">
        <w:rPr>
          <w:sz w:val="28"/>
          <w:szCs w:val="28"/>
        </w:rPr>
        <w:t>робіт з розчищення русла та дна річок</w:t>
      </w:r>
      <w:r w:rsidRPr="00571444">
        <w:rPr>
          <w:sz w:val="28"/>
          <w:szCs w:val="28"/>
        </w:rPr>
        <w:t xml:space="preserve"> з другої категорії </w:t>
      </w:r>
      <w:r w:rsidRPr="00571444">
        <w:rPr>
          <w:color w:val="000000"/>
          <w:sz w:val="28"/>
          <w:szCs w:val="28"/>
          <w:shd w:val="clear" w:color="auto" w:fill="FFFFFF"/>
        </w:rPr>
        <w:t xml:space="preserve">видів планованої діяльності та об’єктів, які можуть мати значний вплив на довкілля та підлягають оцінці впливу на довкілля. </w:t>
      </w:r>
      <w:r>
        <w:rPr>
          <w:color w:val="000000"/>
          <w:sz w:val="28"/>
          <w:szCs w:val="28"/>
          <w:shd w:val="clear" w:color="auto" w:fill="FFFFFF"/>
          <w:lang w:val="uk-UA"/>
        </w:rPr>
        <w:t>Комітет зазначає, що, на</w:t>
      </w:r>
      <w:r w:rsidRPr="00571444">
        <w:rPr>
          <w:color w:val="000000"/>
          <w:sz w:val="28"/>
          <w:szCs w:val="28"/>
          <w:shd w:val="clear" w:color="auto" w:fill="FFFFFF"/>
        </w:rPr>
        <w:t xml:space="preserve"> відміну від </w:t>
      </w:r>
      <w:r>
        <w:rPr>
          <w:sz w:val="28"/>
          <w:szCs w:val="28"/>
          <w:lang w:val="uk-UA"/>
        </w:rPr>
        <w:t xml:space="preserve">експлуатаційних днопоглиблювальних робіти (у версії законопроекту - </w:t>
      </w:r>
      <w:r w:rsidRPr="00571444">
        <w:rPr>
          <w:color w:val="000000"/>
          <w:sz w:val="28"/>
          <w:szCs w:val="28"/>
          <w:shd w:val="clear" w:color="auto" w:fill="FFFFFF"/>
        </w:rPr>
        <w:t>експлуатаційного днопоглиблення</w:t>
      </w:r>
      <w:r>
        <w:rPr>
          <w:color w:val="000000"/>
          <w:sz w:val="28"/>
          <w:szCs w:val="28"/>
          <w:shd w:val="clear" w:color="auto" w:fill="FFFFFF"/>
          <w:lang w:val="uk-UA"/>
        </w:rPr>
        <w:t>)</w:t>
      </w:r>
      <w:r w:rsidRPr="00571444">
        <w:rPr>
          <w:color w:val="000000"/>
          <w:sz w:val="28"/>
          <w:szCs w:val="28"/>
          <w:shd w:val="clear" w:color="auto" w:fill="FFFFFF"/>
        </w:rPr>
        <w:t xml:space="preserve">, яке здійснюється з метою підтримання технічних (паспортних) характеристик внутрішніх підхідних, судноплавних каналів та портових акваторій, роботи з розчищення русла та дна річок за своїм змістом є природоохоронною діяльністю і мають на меті </w:t>
      </w:r>
      <w:r>
        <w:rPr>
          <w:color w:val="000000"/>
          <w:sz w:val="28"/>
          <w:szCs w:val="28"/>
          <w:shd w:val="clear" w:color="auto" w:fill="FFFFFF"/>
          <w:lang w:val="uk-UA"/>
        </w:rPr>
        <w:t>відновлення</w:t>
      </w:r>
      <w:r w:rsidRPr="00571444">
        <w:rPr>
          <w:color w:val="000000"/>
          <w:sz w:val="28"/>
          <w:szCs w:val="28"/>
          <w:shd w:val="clear" w:color="auto" w:fill="FFFFFF"/>
        </w:rPr>
        <w:t xml:space="preserve"> природного стану рус</w:t>
      </w:r>
      <w:r>
        <w:rPr>
          <w:color w:val="000000"/>
          <w:sz w:val="28"/>
          <w:szCs w:val="28"/>
          <w:shd w:val="clear" w:color="auto" w:fill="FFFFFF"/>
          <w:lang w:val="uk-UA"/>
        </w:rPr>
        <w:t>е</w:t>
      </w:r>
      <w:r w:rsidRPr="00571444">
        <w:rPr>
          <w:color w:val="000000"/>
          <w:sz w:val="28"/>
          <w:szCs w:val="28"/>
          <w:shd w:val="clear" w:color="auto" w:fill="FFFFFF"/>
        </w:rPr>
        <w:t xml:space="preserve">л річок, </w:t>
      </w:r>
      <w:r>
        <w:rPr>
          <w:color w:val="000000"/>
          <w:sz w:val="28"/>
          <w:szCs w:val="28"/>
          <w:shd w:val="clear" w:color="auto" w:fill="FFFFFF"/>
          <w:lang w:val="uk-UA"/>
        </w:rPr>
        <w:t>забезпечення</w:t>
      </w:r>
      <w:r w:rsidRPr="00571444">
        <w:rPr>
          <w:color w:val="000000"/>
          <w:sz w:val="28"/>
          <w:szCs w:val="28"/>
          <w:shd w:val="clear" w:color="auto" w:fill="FFFFFF"/>
        </w:rPr>
        <w:t xml:space="preserve"> проточності тощо.</w:t>
      </w:r>
      <w:r>
        <w:rPr>
          <w:color w:val="000000"/>
          <w:sz w:val="28"/>
          <w:szCs w:val="28"/>
          <w:shd w:val="clear" w:color="auto" w:fill="FFFFFF"/>
          <w:lang w:val="uk-UA"/>
        </w:rPr>
        <w:t xml:space="preserve"> В</w:t>
      </w:r>
      <w:r w:rsidRPr="00870B40">
        <w:rPr>
          <w:sz w:val="28"/>
          <w:szCs w:val="28"/>
          <w:lang w:val="uk-UA"/>
        </w:rPr>
        <w:t xml:space="preserve">иключення робіт з розчищення русла та дна річок з другої категорії </w:t>
      </w:r>
      <w:r w:rsidRPr="00870B40">
        <w:rPr>
          <w:color w:val="000000"/>
          <w:sz w:val="28"/>
          <w:szCs w:val="28"/>
          <w:shd w:val="clear" w:color="auto" w:fill="FFFFFF"/>
          <w:lang w:val="uk-UA"/>
        </w:rPr>
        <w:t>видів планованої діяльності та об’єктів, які можуть мати значний вплив на довкілля, призведе до несанкціоновано</w:t>
      </w:r>
      <w:r>
        <w:rPr>
          <w:color w:val="000000"/>
          <w:sz w:val="28"/>
          <w:szCs w:val="28"/>
          <w:shd w:val="clear" w:color="auto" w:fill="FFFFFF"/>
          <w:lang w:val="uk-UA"/>
        </w:rPr>
        <w:t>го</w:t>
      </w:r>
      <w:r w:rsidRPr="00870B40">
        <w:rPr>
          <w:color w:val="000000"/>
          <w:sz w:val="28"/>
          <w:szCs w:val="28"/>
          <w:shd w:val="clear" w:color="auto" w:fill="FFFFFF"/>
          <w:lang w:val="uk-UA"/>
        </w:rPr>
        <w:t xml:space="preserve"> </w:t>
      </w:r>
      <w:r>
        <w:rPr>
          <w:color w:val="000000"/>
          <w:sz w:val="28"/>
          <w:szCs w:val="28"/>
          <w:shd w:val="clear" w:color="auto" w:fill="FFFFFF"/>
          <w:lang w:val="uk-UA"/>
        </w:rPr>
        <w:t>вилучення</w:t>
      </w:r>
      <w:r w:rsidRPr="00870B40">
        <w:rPr>
          <w:color w:val="000000"/>
          <w:sz w:val="28"/>
          <w:szCs w:val="28"/>
          <w:shd w:val="clear" w:color="auto" w:fill="FFFFFF"/>
          <w:lang w:val="uk-UA"/>
        </w:rPr>
        <w:t xml:space="preserve"> піску і гравію з річок, дна морів, морських заток і лиманів.</w:t>
      </w:r>
      <w:r w:rsidRPr="00E96EB5">
        <w:rPr>
          <w:color w:val="000000"/>
          <w:sz w:val="28"/>
          <w:szCs w:val="28"/>
          <w:shd w:val="clear" w:color="auto" w:fill="FFFFFF"/>
          <w:lang w:val="uk-UA"/>
        </w:rPr>
        <w:t>Також зазначаємо, що згідно абзацу шістнадцятому підпункту</w:t>
      </w:r>
      <w:r>
        <w:rPr>
          <w:color w:val="000000"/>
          <w:sz w:val="28"/>
          <w:szCs w:val="28"/>
          <w:shd w:val="clear" w:color="auto" w:fill="FFFFFF"/>
          <w:lang w:val="uk-UA"/>
        </w:rPr>
        <w:t xml:space="preserve"> 10 </w:t>
      </w:r>
      <w:r w:rsidRPr="00E96EB5">
        <w:rPr>
          <w:color w:val="000000"/>
          <w:sz w:val="28"/>
          <w:szCs w:val="28"/>
          <w:shd w:val="clear" w:color="auto" w:fill="FFFFFF"/>
          <w:lang w:val="uk-UA"/>
        </w:rPr>
        <w:t>пункту 3 статті 3 Закону України «Про оцінку впливу на довкілля», експлуатаційні днопоглиблювальні роботи вже виключені з переліку видів планованої діяльності та об’єктів, які підлягають оцінці впливу на довкілля.</w:t>
      </w:r>
    </w:p>
    <w:p w:rsidR="00F21B12" w:rsidRDefault="00F21B12" w:rsidP="00571444">
      <w:pPr>
        <w:ind w:firstLine="709"/>
        <w:jc w:val="both"/>
        <w:rPr>
          <w:sz w:val="28"/>
          <w:szCs w:val="28"/>
          <w:lang w:val="uk-UA"/>
        </w:rPr>
      </w:pPr>
      <w:r>
        <w:rPr>
          <w:sz w:val="28"/>
          <w:szCs w:val="28"/>
          <w:lang w:val="uk-UA"/>
        </w:rPr>
        <w:t>Також Комітет вважає неприйнятним в</w:t>
      </w:r>
      <w:r w:rsidRPr="00E96EB5">
        <w:rPr>
          <w:sz w:val="28"/>
          <w:szCs w:val="28"/>
          <w:lang w:val="uk-UA"/>
        </w:rPr>
        <w:t>иокремлення експлуатаційного днопоглиблення в окремий вид діяльності, який не відноситься до екологічно небезпечних та не потребує одержання дозволу</w:t>
      </w:r>
      <w:r>
        <w:rPr>
          <w:sz w:val="28"/>
          <w:szCs w:val="28"/>
          <w:lang w:val="uk-UA"/>
        </w:rPr>
        <w:t>, оскільки негативний вплив на довкілля здійснює як саме днопоглиблення, так і складування продуктів днопоглиблення</w:t>
      </w:r>
      <w:r w:rsidRPr="00E96EB5">
        <w:rPr>
          <w:sz w:val="28"/>
          <w:szCs w:val="28"/>
          <w:lang w:val="uk-UA"/>
        </w:rPr>
        <w:t>.</w:t>
      </w:r>
      <w:r>
        <w:rPr>
          <w:sz w:val="28"/>
          <w:szCs w:val="28"/>
          <w:lang w:val="uk-UA"/>
        </w:rPr>
        <w:t xml:space="preserve"> </w:t>
      </w:r>
    </w:p>
    <w:p w:rsidR="00F21B12" w:rsidRPr="00571444" w:rsidRDefault="00F21B12" w:rsidP="00571444">
      <w:pPr>
        <w:ind w:firstLine="709"/>
        <w:jc w:val="both"/>
        <w:rPr>
          <w:sz w:val="28"/>
          <w:szCs w:val="28"/>
        </w:rPr>
      </w:pPr>
      <w:r>
        <w:rPr>
          <w:sz w:val="28"/>
          <w:szCs w:val="28"/>
          <w:lang w:val="uk-UA"/>
        </w:rPr>
        <w:t>Г</w:t>
      </w:r>
      <w:r w:rsidRPr="00571444">
        <w:rPr>
          <w:sz w:val="28"/>
          <w:szCs w:val="28"/>
        </w:rPr>
        <w:t>оловною метою документу дозвільного характеру, яким надається право на проведення робіт на землях водного фонду, у тому числі, робіт з експлуатаційного днопоглиблення, є встановлення особливих умов (порядку) проведення зазначених робіт у спосіб, який запобігає та або мінімізує несприятливі наслідки на довкілля в цілому, і водні екосистеми зокрема. Виокремлення експлуатаційного днопоглиблення в окремий тип днопоглиблювальних робіт створюватиме підвищені ризики та екологічну небезпеку.</w:t>
      </w:r>
    </w:p>
    <w:p w:rsidR="00F21B12" w:rsidRPr="00571444" w:rsidRDefault="00F21B12" w:rsidP="00571444">
      <w:pPr>
        <w:ind w:firstLine="709"/>
        <w:jc w:val="both"/>
        <w:rPr>
          <w:sz w:val="28"/>
          <w:szCs w:val="28"/>
        </w:rPr>
      </w:pPr>
      <w:r>
        <w:rPr>
          <w:sz w:val="28"/>
          <w:szCs w:val="28"/>
          <w:lang w:val="uk-UA"/>
        </w:rPr>
        <w:t>Комітет зауважує, що</w:t>
      </w:r>
      <w:r w:rsidRPr="00571444">
        <w:rPr>
          <w:sz w:val="28"/>
          <w:szCs w:val="28"/>
        </w:rPr>
        <w:t xml:space="preserve"> процедур</w:t>
      </w:r>
      <w:r>
        <w:rPr>
          <w:sz w:val="28"/>
          <w:szCs w:val="28"/>
          <w:lang w:val="uk-UA"/>
        </w:rPr>
        <w:t>а</w:t>
      </w:r>
      <w:r w:rsidRPr="00571444">
        <w:rPr>
          <w:sz w:val="28"/>
          <w:szCs w:val="28"/>
        </w:rPr>
        <w:t xml:space="preserve"> отримання дозволу на </w:t>
      </w:r>
      <w:r w:rsidRPr="00571444">
        <w:rPr>
          <w:color w:val="000000"/>
          <w:sz w:val="28"/>
          <w:szCs w:val="28"/>
          <w:shd w:val="clear" w:color="auto" w:fill="FFFFFF"/>
        </w:rPr>
        <w:t>експлуатаційне днопоглиблення на внутрішніх підхідних, судноплавних каналах та портових акваторіях, з метою підтримання заданих навігаційних габаритів</w:t>
      </w:r>
      <w:r>
        <w:rPr>
          <w:color w:val="000000"/>
          <w:sz w:val="28"/>
          <w:szCs w:val="28"/>
          <w:shd w:val="clear" w:color="auto" w:fill="FFFFFF"/>
          <w:lang w:val="uk-UA"/>
        </w:rPr>
        <w:t xml:space="preserve"> визначається</w:t>
      </w:r>
      <w:r w:rsidRPr="00571444">
        <w:rPr>
          <w:sz w:val="28"/>
          <w:szCs w:val="28"/>
        </w:rPr>
        <w:t xml:space="preserve"> Порядк</w:t>
      </w:r>
      <w:r>
        <w:rPr>
          <w:sz w:val="28"/>
          <w:szCs w:val="28"/>
          <w:lang w:val="uk-UA"/>
        </w:rPr>
        <w:t>ом</w:t>
      </w:r>
      <w:r w:rsidRPr="00571444">
        <w:rPr>
          <w:sz w:val="28"/>
          <w:szCs w:val="28"/>
        </w:rPr>
        <w:t xml:space="preserve"> видачі дозволів на проведення робіт на землях водного фонду, затверджен</w:t>
      </w:r>
      <w:r>
        <w:rPr>
          <w:sz w:val="28"/>
          <w:szCs w:val="28"/>
          <w:lang w:val="uk-UA"/>
        </w:rPr>
        <w:t>им</w:t>
      </w:r>
      <w:r w:rsidRPr="00571444">
        <w:rPr>
          <w:sz w:val="28"/>
          <w:szCs w:val="28"/>
        </w:rPr>
        <w:t xml:space="preserve"> постановою Кабінету Міністрів України від 12.07.2005</w:t>
      </w:r>
      <w:r>
        <w:rPr>
          <w:sz w:val="28"/>
          <w:szCs w:val="28"/>
          <w:lang w:val="uk-UA"/>
        </w:rPr>
        <w:t xml:space="preserve"> року</w:t>
      </w:r>
      <w:r w:rsidRPr="00571444">
        <w:rPr>
          <w:sz w:val="28"/>
          <w:szCs w:val="28"/>
        </w:rPr>
        <w:t xml:space="preserve"> № 557. </w:t>
      </w:r>
      <w:r>
        <w:rPr>
          <w:sz w:val="28"/>
          <w:szCs w:val="28"/>
          <w:lang w:val="uk-UA"/>
        </w:rPr>
        <w:t xml:space="preserve">Відповідно до </w:t>
      </w:r>
      <w:r w:rsidRPr="00571444">
        <w:rPr>
          <w:sz w:val="28"/>
          <w:szCs w:val="28"/>
        </w:rPr>
        <w:t xml:space="preserve">внесених постановою Кабінету Міністрів України від </w:t>
      </w:r>
      <w:r>
        <w:rPr>
          <w:sz w:val="28"/>
          <w:szCs w:val="28"/>
          <w:lang w:val="uk-UA"/>
        </w:rPr>
        <w:t>30</w:t>
      </w:r>
      <w:r w:rsidRPr="00571444">
        <w:rPr>
          <w:sz w:val="28"/>
          <w:szCs w:val="28"/>
        </w:rPr>
        <w:t>.07.20</w:t>
      </w:r>
      <w:r>
        <w:rPr>
          <w:sz w:val="28"/>
          <w:szCs w:val="28"/>
          <w:lang w:val="uk-UA"/>
        </w:rPr>
        <w:t>1</w:t>
      </w:r>
      <w:r w:rsidRPr="00571444">
        <w:rPr>
          <w:sz w:val="28"/>
          <w:szCs w:val="28"/>
        </w:rPr>
        <w:t>5</w:t>
      </w:r>
      <w:r>
        <w:rPr>
          <w:sz w:val="28"/>
          <w:szCs w:val="28"/>
          <w:lang w:val="uk-UA"/>
        </w:rPr>
        <w:t xml:space="preserve"> року</w:t>
      </w:r>
      <w:r w:rsidRPr="00571444">
        <w:rPr>
          <w:sz w:val="28"/>
          <w:szCs w:val="28"/>
        </w:rPr>
        <w:t xml:space="preserve"> № 57</w:t>
      </w:r>
      <w:r>
        <w:rPr>
          <w:sz w:val="28"/>
          <w:szCs w:val="28"/>
          <w:lang w:val="uk-UA"/>
        </w:rPr>
        <w:t xml:space="preserve">4 </w:t>
      </w:r>
      <w:r w:rsidRPr="00571444">
        <w:rPr>
          <w:sz w:val="28"/>
          <w:szCs w:val="28"/>
        </w:rPr>
        <w:t xml:space="preserve">змін, дозвіл на проведення експлуатаційних днопоглиблювальних робіт видається </w:t>
      </w:r>
      <w:r w:rsidRPr="00571444">
        <w:rPr>
          <w:color w:val="000000"/>
          <w:sz w:val="28"/>
          <w:szCs w:val="28"/>
          <w:shd w:val="clear" w:color="auto" w:fill="FFFFFF"/>
        </w:rPr>
        <w:t xml:space="preserve">один раз на весь період експлуатації внутрішніх підхідних, судноплавних каналів та портових акваторій за умови незмінності технічних характеристик акваторії порту, внутрішнього підхідного, судноплавного каналу, визначених паспортом, технологічних рішень та умов виконання робіт. Крім цього такий дозвіл видається </w:t>
      </w:r>
      <w:r w:rsidRPr="00571444">
        <w:rPr>
          <w:sz w:val="28"/>
          <w:szCs w:val="28"/>
        </w:rPr>
        <w:t>за скороченою процедурою і не потребує узгоджень із органами місцевої виконавчої влади і органами місцевого самоврядування.</w:t>
      </w:r>
    </w:p>
    <w:p w:rsidR="00F21B12" w:rsidRPr="00571444" w:rsidRDefault="00F21B12" w:rsidP="00571444">
      <w:pPr>
        <w:ind w:firstLine="709"/>
        <w:jc w:val="both"/>
        <w:rPr>
          <w:sz w:val="28"/>
          <w:szCs w:val="28"/>
        </w:rPr>
      </w:pPr>
      <w:r>
        <w:rPr>
          <w:sz w:val="28"/>
          <w:szCs w:val="28"/>
          <w:lang w:val="uk-UA"/>
        </w:rPr>
        <w:t>Відтак</w:t>
      </w:r>
      <w:r w:rsidRPr="00571444">
        <w:rPr>
          <w:sz w:val="28"/>
          <w:szCs w:val="28"/>
        </w:rPr>
        <w:t>, процедура одержання дозволу на експлуатаційне днопоглиблення вже є спрощеною і дозволяє адміністраціям портів України здійснювати свою діяльність з підтримання безпеки судноплавства на підставі фактично безстрокового дозволу відповідно до встановлених вимог екологічної безпеки.</w:t>
      </w:r>
    </w:p>
    <w:p w:rsidR="00F21B12" w:rsidRPr="00571444" w:rsidRDefault="00F21B12" w:rsidP="00571444">
      <w:pPr>
        <w:ind w:firstLine="709"/>
        <w:jc w:val="both"/>
        <w:rPr>
          <w:rStyle w:val="FontStyle16"/>
          <w:sz w:val="28"/>
          <w:szCs w:val="28"/>
        </w:rPr>
      </w:pPr>
      <w:r w:rsidRPr="0074556E">
        <w:rPr>
          <w:rStyle w:val="FontStyle16"/>
          <w:bCs/>
          <w:sz w:val="28"/>
          <w:szCs w:val="28"/>
          <w:lang w:val="uk-UA"/>
        </w:rPr>
        <w:t>Комітет</w:t>
      </w:r>
      <w:r w:rsidRPr="00571444">
        <w:rPr>
          <w:rStyle w:val="FontStyle16"/>
          <w:sz w:val="28"/>
          <w:szCs w:val="28"/>
        </w:rPr>
        <w:t xml:space="preserve"> </w:t>
      </w:r>
      <w:r>
        <w:rPr>
          <w:rStyle w:val="FontStyle16"/>
          <w:sz w:val="28"/>
          <w:szCs w:val="28"/>
          <w:lang w:val="uk-UA"/>
        </w:rPr>
        <w:t xml:space="preserve">вважає, що </w:t>
      </w:r>
      <w:r w:rsidRPr="00571444">
        <w:rPr>
          <w:rStyle w:val="FontStyle16"/>
          <w:sz w:val="28"/>
          <w:szCs w:val="28"/>
        </w:rPr>
        <w:t>запропоновані зміни до Водного кодексу України</w:t>
      </w:r>
      <w:r>
        <w:rPr>
          <w:rStyle w:val="FontStyle16"/>
          <w:sz w:val="28"/>
          <w:szCs w:val="28"/>
          <w:lang w:val="uk-UA"/>
        </w:rPr>
        <w:t>,</w:t>
      </w:r>
      <w:r w:rsidRPr="00571444">
        <w:rPr>
          <w:rStyle w:val="FontStyle16"/>
          <w:sz w:val="28"/>
          <w:szCs w:val="28"/>
        </w:rPr>
        <w:t xml:space="preserve"> до Закону України «Про оцінку впливу на довкілля» </w:t>
      </w:r>
      <w:r w:rsidRPr="00571444">
        <w:rPr>
          <w:sz w:val="28"/>
          <w:szCs w:val="28"/>
        </w:rPr>
        <w:t>Закону України «Про Перелік документів дозвільного характеру у сфері господарської діяльності»</w:t>
      </w:r>
      <w:r>
        <w:rPr>
          <w:sz w:val="28"/>
          <w:szCs w:val="28"/>
          <w:lang w:val="uk-UA"/>
        </w:rPr>
        <w:t xml:space="preserve"> мають бути виключені </w:t>
      </w:r>
      <w:r w:rsidRPr="00571444">
        <w:rPr>
          <w:rStyle w:val="FontStyle16"/>
          <w:sz w:val="28"/>
          <w:szCs w:val="28"/>
        </w:rPr>
        <w:t>як такі, що супереч</w:t>
      </w:r>
      <w:r>
        <w:rPr>
          <w:rStyle w:val="FontStyle16"/>
          <w:sz w:val="28"/>
          <w:szCs w:val="28"/>
          <w:lang w:val="uk-UA"/>
        </w:rPr>
        <w:t>а</w:t>
      </w:r>
      <w:r w:rsidRPr="00571444">
        <w:rPr>
          <w:rStyle w:val="FontStyle16"/>
          <w:sz w:val="28"/>
          <w:szCs w:val="28"/>
        </w:rPr>
        <w:t>ть засадам державної природоохоронної політики</w:t>
      </w:r>
      <w:r>
        <w:rPr>
          <w:rStyle w:val="FontStyle16"/>
          <w:sz w:val="28"/>
          <w:szCs w:val="28"/>
          <w:lang w:val="uk-UA"/>
        </w:rPr>
        <w:t xml:space="preserve"> або вже знайшли своє вирішення у законодавстві</w:t>
      </w:r>
      <w:r w:rsidRPr="00571444">
        <w:rPr>
          <w:rStyle w:val="FontStyle16"/>
          <w:sz w:val="28"/>
          <w:szCs w:val="28"/>
        </w:rPr>
        <w:t>.</w:t>
      </w:r>
    </w:p>
    <w:p w:rsidR="00F21B12" w:rsidRPr="00571444" w:rsidRDefault="00F21B12" w:rsidP="00571444">
      <w:pPr>
        <w:tabs>
          <w:tab w:val="left" w:pos="540"/>
        </w:tabs>
        <w:ind w:firstLine="540"/>
        <w:jc w:val="both"/>
        <w:rPr>
          <w:sz w:val="28"/>
          <w:szCs w:val="28"/>
          <w:lang w:val="uk-UA"/>
        </w:rPr>
      </w:pPr>
    </w:p>
    <w:p w:rsidR="00F21B12" w:rsidRPr="007D3827" w:rsidRDefault="00F21B12" w:rsidP="00901CCB">
      <w:pPr>
        <w:ind w:firstLine="540"/>
        <w:rPr>
          <w:sz w:val="28"/>
          <w:szCs w:val="28"/>
          <w:lang w:val="uk-UA"/>
        </w:rPr>
      </w:pPr>
      <w:r w:rsidRPr="007D3827">
        <w:rPr>
          <w:sz w:val="28"/>
          <w:szCs w:val="28"/>
          <w:lang w:val="uk-UA"/>
        </w:rPr>
        <w:t>Зважаючи на викладене, Комітет в и р і ш и в:</w:t>
      </w:r>
    </w:p>
    <w:p w:rsidR="00F21B12" w:rsidRDefault="00F21B12" w:rsidP="004457CB">
      <w:pPr>
        <w:ind w:firstLine="720"/>
        <w:jc w:val="both"/>
        <w:rPr>
          <w:sz w:val="28"/>
          <w:szCs w:val="28"/>
          <w:lang w:val="uk-UA"/>
        </w:rPr>
      </w:pPr>
      <w:r w:rsidRPr="007D3827">
        <w:rPr>
          <w:sz w:val="28"/>
          <w:szCs w:val="28"/>
          <w:lang w:val="uk-UA"/>
        </w:rPr>
        <w:t xml:space="preserve">1. Рекомендувати </w:t>
      </w:r>
      <w:r>
        <w:rPr>
          <w:sz w:val="28"/>
          <w:szCs w:val="28"/>
          <w:lang w:val="uk-UA"/>
        </w:rPr>
        <w:t xml:space="preserve">Комітету з питань транспорту </w:t>
      </w:r>
      <w:r w:rsidRPr="005E25BF">
        <w:rPr>
          <w:sz w:val="28"/>
          <w:szCs w:val="28"/>
          <w:lang w:val="uk-UA"/>
        </w:rPr>
        <w:t xml:space="preserve">проект </w:t>
      </w:r>
      <w:r>
        <w:rPr>
          <w:sz w:val="28"/>
          <w:szCs w:val="28"/>
          <w:lang w:val="uk-UA"/>
        </w:rPr>
        <w:t>з</w:t>
      </w:r>
      <w:r w:rsidRPr="005E25BF">
        <w:rPr>
          <w:sz w:val="28"/>
          <w:szCs w:val="28"/>
          <w:lang w:val="uk-UA"/>
        </w:rPr>
        <w:t>акон</w:t>
      </w:r>
      <w:r>
        <w:rPr>
          <w:sz w:val="28"/>
          <w:szCs w:val="28"/>
          <w:lang w:val="uk-UA"/>
        </w:rPr>
        <w:t>у</w:t>
      </w:r>
      <w:r w:rsidRPr="005E25BF">
        <w:rPr>
          <w:sz w:val="28"/>
          <w:szCs w:val="28"/>
          <w:lang w:val="uk-UA"/>
        </w:rPr>
        <w:t xml:space="preserve"> України </w:t>
      </w:r>
      <w:r>
        <w:rPr>
          <w:sz w:val="28"/>
          <w:szCs w:val="28"/>
          <w:lang w:val="uk-UA"/>
        </w:rPr>
        <w:t>п</w:t>
      </w:r>
      <w:r w:rsidRPr="002842E9">
        <w:rPr>
          <w:sz w:val="28"/>
          <w:szCs w:val="28"/>
          <w:lang w:val="uk-UA"/>
        </w:rPr>
        <w:t>ро внесення змін до деяких законодавчих актів України щодо сприяння розвитку морег</w:t>
      </w:r>
      <w:r>
        <w:rPr>
          <w:sz w:val="28"/>
          <w:szCs w:val="28"/>
          <w:lang w:val="uk-UA"/>
        </w:rPr>
        <w:t xml:space="preserve">осподарського комплексу (реєстр. № 7385), поданий народними депутатами України  Б.Козирем, І.Кононенком, М.Бурбаком та іншими народними депутатами України, </w:t>
      </w:r>
      <w:r w:rsidRPr="007D3827">
        <w:rPr>
          <w:sz w:val="28"/>
          <w:szCs w:val="28"/>
          <w:lang w:val="uk-UA"/>
        </w:rPr>
        <w:t>за результатами розгля</w:t>
      </w:r>
      <w:r>
        <w:rPr>
          <w:sz w:val="28"/>
          <w:szCs w:val="28"/>
          <w:lang w:val="uk-UA"/>
        </w:rPr>
        <w:t>ду Верховною Радою України направити на доопрацювання суб’єкту</w:t>
      </w:r>
      <w:bookmarkStart w:id="1" w:name="_GoBack"/>
      <w:bookmarkEnd w:id="1"/>
      <w:r>
        <w:rPr>
          <w:sz w:val="28"/>
          <w:szCs w:val="28"/>
          <w:lang w:val="uk-UA"/>
        </w:rPr>
        <w:t xml:space="preserve"> права законодавчої ініціативи.</w:t>
      </w:r>
    </w:p>
    <w:p w:rsidR="00F21B12" w:rsidRPr="00BC33A2" w:rsidRDefault="00F21B12" w:rsidP="00901CCB">
      <w:pPr>
        <w:ind w:firstLine="540"/>
        <w:jc w:val="both"/>
        <w:rPr>
          <w:sz w:val="28"/>
          <w:szCs w:val="28"/>
        </w:rPr>
      </w:pPr>
      <w:r w:rsidRPr="00BC33A2">
        <w:rPr>
          <w:sz w:val="28"/>
          <w:szCs w:val="28"/>
          <w:lang w:val="uk-UA"/>
        </w:rPr>
        <w:t xml:space="preserve">2. </w:t>
      </w:r>
      <w:r w:rsidRPr="00BC33A2">
        <w:rPr>
          <w:sz w:val="28"/>
          <w:szCs w:val="28"/>
          <w:shd w:val="clear" w:color="auto" w:fill="FFFFFF"/>
          <w:lang w:val="uk-UA"/>
        </w:rPr>
        <w:t>Рішення направити Комітету Верховної Ради України з питань транспорту.</w:t>
      </w:r>
    </w:p>
    <w:p w:rsidR="00F21B12" w:rsidRPr="00BC33A2" w:rsidRDefault="00F21B12" w:rsidP="00901CCB">
      <w:pPr>
        <w:pStyle w:val="BodyTextIndent"/>
        <w:spacing w:after="0"/>
        <w:ind w:left="0" w:firstLine="720"/>
        <w:rPr>
          <w:b/>
          <w:sz w:val="28"/>
          <w:szCs w:val="28"/>
        </w:rPr>
      </w:pPr>
    </w:p>
    <w:p w:rsidR="00F21B12" w:rsidRDefault="00F21B12" w:rsidP="00901CCB">
      <w:pPr>
        <w:pStyle w:val="BodyTextIndent"/>
        <w:spacing w:after="0"/>
        <w:ind w:left="0" w:firstLine="720"/>
        <w:rPr>
          <w:b/>
          <w:sz w:val="28"/>
          <w:szCs w:val="28"/>
          <w:lang w:val="uk-UA"/>
        </w:rPr>
      </w:pPr>
      <w:r>
        <w:rPr>
          <w:b/>
          <w:sz w:val="28"/>
          <w:szCs w:val="28"/>
          <w:lang w:val="uk-UA"/>
        </w:rPr>
        <w:t>Перший заступник</w:t>
      </w:r>
    </w:p>
    <w:p w:rsidR="00F21B12" w:rsidRDefault="00F21B12" w:rsidP="00901CCB">
      <w:pPr>
        <w:pStyle w:val="BodyTextIndent"/>
        <w:spacing w:after="0"/>
        <w:ind w:left="0" w:firstLine="720"/>
        <w:rPr>
          <w:b/>
          <w:sz w:val="28"/>
          <w:szCs w:val="28"/>
        </w:rPr>
      </w:pPr>
      <w:r>
        <w:rPr>
          <w:b/>
          <w:sz w:val="28"/>
          <w:szCs w:val="28"/>
          <w:lang w:val="uk-UA"/>
        </w:rPr>
        <w:t xml:space="preserve">Голови Комітету                           </w:t>
      </w:r>
      <w:r>
        <w:rPr>
          <w:b/>
          <w:sz w:val="28"/>
          <w:szCs w:val="28"/>
        </w:rPr>
        <w:t xml:space="preserve">                </w:t>
      </w:r>
      <w:r>
        <w:rPr>
          <w:b/>
          <w:sz w:val="28"/>
          <w:szCs w:val="28"/>
          <w:lang w:val="uk-UA"/>
        </w:rPr>
        <w:t xml:space="preserve">                         А.Дирів</w:t>
      </w:r>
    </w:p>
    <w:p w:rsidR="00F21B12" w:rsidRDefault="00F21B12" w:rsidP="00901CCB">
      <w:pPr>
        <w:rPr>
          <w:b/>
        </w:rPr>
      </w:pPr>
    </w:p>
    <w:p w:rsidR="00F21B12" w:rsidRDefault="00F21B12" w:rsidP="00901CCB"/>
    <w:p w:rsidR="00F21B12" w:rsidRDefault="00F21B12" w:rsidP="00901CCB"/>
    <w:p w:rsidR="00F21B12" w:rsidRDefault="00F21B12" w:rsidP="00901CCB"/>
    <w:p w:rsidR="00F21B12" w:rsidRDefault="00F21B12"/>
    <w:sectPr w:rsidR="00F21B12" w:rsidSect="00A13DB4">
      <w:headerReference w:type="even" r:id="rId7"/>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12" w:rsidRDefault="00F21B12">
      <w:r>
        <w:separator/>
      </w:r>
    </w:p>
  </w:endnote>
  <w:endnote w:type="continuationSeparator" w:id="0">
    <w:p w:rsidR="00F21B12" w:rsidRDefault="00F21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12" w:rsidRDefault="00F21B12">
      <w:r>
        <w:separator/>
      </w:r>
    </w:p>
  </w:footnote>
  <w:footnote w:type="continuationSeparator" w:id="0">
    <w:p w:rsidR="00F21B12" w:rsidRDefault="00F21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12" w:rsidRDefault="00F21B12" w:rsidP="00A13D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21B12" w:rsidRDefault="00F21B12" w:rsidP="00A13D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12" w:rsidRDefault="00F21B12" w:rsidP="00A13D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21B12" w:rsidRDefault="00F21B12" w:rsidP="00A13DB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83699"/>
    <w:multiLevelType w:val="hybridMultilevel"/>
    <w:tmpl w:val="A12C8044"/>
    <w:lvl w:ilvl="0" w:tplc="3A0685C8">
      <w:start w:val="1"/>
      <w:numFmt w:val="decimal"/>
      <w:lvlText w:val="%1)"/>
      <w:lvlJc w:val="left"/>
      <w:pPr>
        <w:tabs>
          <w:tab w:val="num" w:pos="1527"/>
        </w:tabs>
        <w:ind w:left="1527" w:hanging="960"/>
      </w:pPr>
      <w:rPr>
        <w:rFonts w:cs="Times New Roman" w:hint="default"/>
        <w:strike w:val="0"/>
      </w:rPr>
    </w:lvl>
    <w:lvl w:ilvl="1" w:tplc="D47054B0">
      <w:start w:val="42"/>
      <w:numFmt w:val="bullet"/>
      <w:lvlText w:val="-"/>
      <w:lvlJc w:val="left"/>
      <w:pPr>
        <w:tabs>
          <w:tab w:val="num" w:pos="2091"/>
        </w:tabs>
        <w:ind w:left="2091" w:hanging="804"/>
      </w:pPr>
      <w:rPr>
        <w:rFonts w:ascii="Times New Roman" w:eastAsia="Times New Roman" w:hAnsi="Times New Roman" w:hint="default"/>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CCB"/>
    <w:rsid w:val="00004753"/>
    <w:rsid w:val="00010235"/>
    <w:rsid w:val="00013B7D"/>
    <w:rsid w:val="0001459F"/>
    <w:rsid w:val="00070022"/>
    <w:rsid w:val="00096890"/>
    <w:rsid w:val="000A5942"/>
    <w:rsid w:val="00100C9D"/>
    <w:rsid w:val="001037F6"/>
    <w:rsid w:val="0010651F"/>
    <w:rsid w:val="00182092"/>
    <w:rsid w:val="001840E9"/>
    <w:rsid w:val="001E168A"/>
    <w:rsid w:val="001E4C4F"/>
    <w:rsid w:val="00201AC3"/>
    <w:rsid w:val="00237FC6"/>
    <w:rsid w:val="00283DD7"/>
    <w:rsid w:val="002842E9"/>
    <w:rsid w:val="00290F16"/>
    <w:rsid w:val="002B09AA"/>
    <w:rsid w:val="002E6204"/>
    <w:rsid w:val="002F1EF1"/>
    <w:rsid w:val="002F3C25"/>
    <w:rsid w:val="00366DE0"/>
    <w:rsid w:val="003D235C"/>
    <w:rsid w:val="003E3C1F"/>
    <w:rsid w:val="003F1F20"/>
    <w:rsid w:val="00403578"/>
    <w:rsid w:val="004130D4"/>
    <w:rsid w:val="00433385"/>
    <w:rsid w:val="004457CB"/>
    <w:rsid w:val="00455F56"/>
    <w:rsid w:val="00470503"/>
    <w:rsid w:val="00473C18"/>
    <w:rsid w:val="004A3ED0"/>
    <w:rsid w:val="004B2CFE"/>
    <w:rsid w:val="004B49D5"/>
    <w:rsid w:val="00535376"/>
    <w:rsid w:val="00557652"/>
    <w:rsid w:val="00570597"/>
    <w:rsid w:val="00571444"/>
    <w:rsid w:val="00587403"/>
    <w:rsid w:val="00587619"/>
    <w:rsid w:val="00597596"/>
    <w:rsid w:val="005A0288"/>
    <w:rsid w:val="005A4DB6"/>
    <w:rsid w:val="005B3A7E"/>
    <w:rsid w:val="005C7A4C"/>
    <w:rsid w:val="005D0979"/>
    <w:rsid w:val="005D1DF5"/>
    <w:rsid w:val="005E25BF"/>
    <w:rsid w:val="00607A63"/>
    <w:rsid w:val="0061199E"/>
    <w:rsid w:val="006230D9"/>
    <w:rsid w:val="00627811"/>
    <w:rsid w:val="00627CB2"/>
    <w:rsid w:val="00642249"/>
    <w:rsid w:val="00653B90"/>
    <w:rsid w:val="00676A0A"/>
    <w:rsid w:val="00696028"/>
    <w:rsid w:val="006B72E9"/>
    <w:rsid w:val="006E2E54"/>
    <w:rsid w:val="006E6B48"/>
    <w:rsid w:val="0070513B"/>
    <w:rsid w:val="0070572A"/>
    <w:rsid w:val="00711EB6"/>
    <w:rsid w:val="00727509"/>
    <w:rsid w:val="0074556E"/>
    <w:rsid w:val="00773064"/>
    <w:rsid w:val="007866D0"/>
    <w:rsid w:val="00786D1F"/>
    <w:rsid w:val="007D3827"/>
    <w:rsid w:val="007D4492"/>
    <w:rsid w:val="007D499C"/>
    <w:rsid w:val="00802F46"/>
    <w:rsid w:val="00806600"/>
    <w:rsid w:val="00810B15"/>
    <w:rsid w:val="00832A6B"/>
    <w:rsid w:val="00840D69"/>
    <w:rsid w:val="00870B40"/>
    <w:rsid w:val="0088565A"/>
    <w:rsid w:val="00885D6A"/>
    <w:rsid w:val="0089522F"/>
    <w:rsid w:val="008B7B75"/>
    <w:rsid w:val="008C6C40"/>
    <w:rsid w:val="008E68E1"/>
    <w:rsid w:val="00901CCB"/>
    <w:rsid w:val="00935ECD"/>
    <w:rsid w:val="009978EA"/>
    <w:rsid w:val="009C1D78"/>
    <w:rsid w:val="00A13DB4"/>
    <w:rsid w:val="00A2387A"/>
    <w:rsid w:val="00A2564C"/>
    <w:rsid w:val="00A85FE2"/>
    <w:rsid w:val="00A873A2"/>
    <w:rsid w:val="00AF52C6"/>
    <w:rsid w:val="00B20BF2"/>
    <w:rsid w:val="00B92543"/>
    <w:rsid w:val="00B93FD1"/>
    <w:rsid w:val="00BA094C"/>
    <w:rsid w:val="00BB4D60"/>
    <w:rsid w:val="00BC33A2"/>
    <w:rsid w:val="00C0474B"/>
    <w:rsid w:val="00C22D94"/>
    <w:rsid w:val="00C55865"/>
    <w:rsid w:val="00C55C58"/>
    <w:rsid w:val="00C703DC"/>
    <w:rsid w:val="00C82E97"/>
    <w:rsid w:val="00C91BC9"/>
    <w:rsid w:val="00D07E7A"/>
    <w:rsid w:val="00D239C0"/>
    <w:rsid w:val="00D324C4"/>
    <w:rsid w:val="00D52991"/>
    <w:rsid w:val="00D643C9"/>
    <w:rsid w:val="00D74D10"/>
    <w:rsid w:val="00D86D11"/>
    <w:rsid w:val="00D93385"/>
    <w:rsid w:val="00DC0B33"/>
    <w:rsid w:val="00DD0864"/>
    <w:rsid w:val="00DE649F"/>
    <w:rsid w:val="00DE6D37"/>
    <w:rsid w:val="00DF6733"/>
    <w:rsid w:val="00E1154E"/>
    <w:rsid w:val="00E169C5"/>
    <w:rsid w:val="00E21CF6"/>
    <w:rsid w:val="00E24C54"/>
    <w:rsid w:val="00E8438F"/>
    <w:rsid w:val="00E96EB5"/>
    <w:rsid w:val="00EE3CBF"/>
    <w:rsid w:val="00F21B12"/>
    <w:rsid w:val="00F21F52"/>
    <w:rsid w:val="00F234CC"/>
    <w:rsid w:val="00F35E1E"/>
    <w:rsid w:val="00F51FFE"/>
    <w:rsid w:val="00FF242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CB"/>
    <w:rPr>
      <w:rFonts w:ascii="Times New Roman" w:eastAsia="Times New Roman" w:hAnsi="Times New Roman"/>
      <w:sz w:val="20"/>
      <w:szCs w:val="20"/>
      <w:lang w:val="ru-RU" w:eastAsia="ru-RU"/>
    </w:rPr>
  </w:style>
  <w:style w:type="paragraph" w:styleId="Heading3">
    <w:name w:val="heading 3"/>
    <w:basedOn w:val="Normal"/>
    <w:next w:val="Normal"/>
    <w:link w:val="Heading3Char"/>
    <w:uiPriority w:val="99"/>
    <w:qFormat/>
    <w:rsid w:val="00901CCB"/>
    <w:pPr>
      <w:keepNext/>
      <w:outlineLvl w:val="2"/>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01CCB"/>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901CCB"/>
    <w:pPr>
      <w:spacing w:after="120"/>
      <w:ind w:left="283"/>
    </w:pPr>
  </w:style>
  <w:style w:type="character" w:customStyle="1" w:styleId="BodyTextIndentChar">
    <w:name w:val="Body Text Indent Char"/>
    <w:basedOn w:val="DefaultParagraphFont"/>
    <w:link w:val="BodyTextIndent"/>
    <w:uiPriority w:val="99"/>
    <w:locked/>
    <w:rsid w:val="00901CCB"/>
    <w:rPr>
      <w:rFonts w:ascii="Times New Roman" w:hAnsi="Times New Roman" w:cs="Times New Roman"/>
      <w:sz w:val="20"/>
      <w:szCs w:val="20"/>
      <w:lang w:val="ru-RU" w:eastAsia="ru-RU"/>
    </w:rPr>
  </w:style>
  <w:style w:type="paragraph" w:customStyle="1" w:styleId="rvps2">
    <w:name w:val="rvps2"/>
    <w:basedOn w:val="Normal"/>
    <w:uiPriority w:val="99"/>
    <w:rsid w:val="00901CCB"/>
    <w:pPr>
      <w:spacing w:before="100" w:beforeAutospacing="1" w:after="100" w:afterAutospacing="1"/>
    </w:pPr>
    <w:rPr>
      <w:rFonts w:eastAsia="Calibri"/>
      <w:sz w:val="24"/>
      <w:szCs w:val="24"/>
      <w:lang w:val="uk-UA" w:eastAsia="uk-UA"/>
    </w:rPr>
  </w:style>
  <w:style w:type="paragraph" w:styleId="Header">
    <w:name w:val="header"/>
    <w:basedOn w:val="Normal"/>
    <w:link w:val="HeaderChar"/>
    <w:uiPriority w:val="99"/>
    <w:rsid w:val="00901CCB"/>
    <w:pPr>
      <w:tabs>
        <w:tab w:val="center" w:pos="4819"/>
        <w:tab w:val="right" w:pos="9639"/>
      </w:tabs>
    </w:pPr>
  </w:style>
  <w:style w:type="character" w:customStyle="1" w:styleId="HeaderChar">
    <w:name w:val="Header Char"/>
    <w:basedOn w:val="DefaultParagraphFont"/>
    <w:link w:val="Header"/>
    <w:uiPriority w:val="99"/>
    <w:locked/>
    <w:rsid w:val="00901CCB"/>
    <w:rPr>
      <w:rFonts w:ascii="Times New Roman" w:hAnsi="Times New Roman" w:cs="Times New Roman"/>
      <w:sz w:val="20"/>
      <w:szCs w:val="20"/>
      <w:lang w:val="ru-RU" w:eastAsia="ru-RU"/>
    </w:rPr>
  </w:style>
  <w:style w:type="character" w:styleId="PageNumber">
    <w:name w:val="page number"/>
    <w:basedOn w:val="DefaultParagraphFont"/>
    <w:uiPriority w:val="99"/>
    <w:rsid w:val="00901CCB"/>
    <w:rPr>
      <w:rFonts w:cs="Times New Roman"/>
    </w:rPr>
  </w:style>
  <w:style w:type="paragraph" w:styleId="HTMLPreformatted">
    <w:name w:val="HTML Preformatted"/>
    <w:basedOn w:val="Normal"/>
    <w:link w:val="HTMLPreformattedChar"/>
    <w:uiPriority w:val="99"/>
    <w:rsid w:val="0090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9"/>
      <w:szCs w:val="19"/>
    </w:rPr>
  </w:style>
  <w:style w:type="character" w:customStyle="1" w:styleId="HTMLPreformattedChar">
    <w:name w:val="HTML Preformatted Char"/>
    <w:basedOn w:val="DefaultParagraphFont"/>
    <w:link w:val="HTMLPreformatted"/>
    <w:uiPriority w:val="99"/>
    <w:locked/>
    <w:rsid w:val="00901CCB"/>
    <w:rPr>
      <w:rFonts w:ascii="Courier New" w:eastAsia="Times New Roman" w:hAnsi="Courier New" w:cs="Courier New"/>
      <w:color w:val="000000"/>
      <w:sz w:val="19"/>
      <w:szCs w:val="19"/>
      <w:lang w:val="ru-RU" w:eastAsia="ru-RU"/>
    </w:rPr>
  </w:style>
  <w:style w:type="character" w:customStyle="1" w:styleId="apple-converted-space">
    <w:name w:val="apple-converted-space"/>
    <w:uiPriority w:val="99"/>
    <w:rsid w:val="00901CCB"/>
  </w:style>
  <w:style w:type="paragraph" w:customStyle="1" w:styleId="a">
    <w:name w:val="Знак"/>
    <w:basedOn w:val="Normal"/>
    <w:uiPriority w:val="99"/>
    <w:rsid w:val="007D4492"/>
    <w:rPr>
      <w:rFonts w:ascii="Verdana" w:hAnsi="Verdana"/>
      <w:lang w:val="en-US"/>
    </w:rPr>
  </w:style>
  <w:style w:type="paragraph" w:styleId="BalloonText">
    <w:name w:val="Balloon Text"/>
    <w:basedOn w:val="Normal"/>
    <w:link w:val="BalloonTextChar"/>
    <w:uiPriority w:val="99"/>
    <w:semiHidden/>
    <w:rsid w:val="00D07E7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7E7A"/>
    <w:rPr>
      <w:rFonts w:ascii="Segoe UI" w:hAnsi="Segoe UI" w:cs="Segoe UI"/>
      <w:sz w:val="18"/>
      <w:szCs w:val="18"/>
      <w:lang w:val="ru-RU" w:eastAsia="ru-RU"/>
    </w:rPr>
  </w:style>
  <w:style w:type="paragraph" w:styleId="ListParagraph">
    <w:name w:val="List Paragraph"/>
    <w:basedOn w:val="Normal"/>
    <w:uiPriority w:val="99"/>
    <w:qFormat/>
    <w:rsid w:val="007D499C"/>
    <w:pPr>
      <w:ind w:left="720"/>
      <w:contextualSpacing/>
    </w:pPr>
  </w:style>
  <w:style w:type="character" w:customStyle="1" w:styleId="FontStyle16">
    <w:name w:val="Font Style16"/>
    <w:uiPriority w:val="99"/>
    <w:rsid w:val="00571444"/>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4</Pages>
  <Words>1207</Words>
  <Characters>6885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Наталія Володимирівна</dc:creator>
  <cp:keywords/>
  <dc:description/>
  <cp:lastModifiedBy>User_UKS</cp:lastModifiedBy>
  <cp:revision>18</cp:revision>
  <cp:lastPrinted>2018-03-14T07:08:00Z</cp:lastPrinted>
  <dcterms:created xsi:type="dcterms:W3CDTF">2018-01-30T10:21:00Z</dcterms:created>
  <dcterms:modified xsi:type="dcterms:W3CDTF">2018-05-08T09:51:00Z</dcterms:modified>
</cp:coreProperties>
</file>